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Trebuchet MS" w:hAnsi="Trebuchet MS"/>
          <w:sz w:val="26"/>
          <w:szCs w:val="26"/>
        </w:rPr>
      </w:pPr>
      <w:r>
        <w:rPr>
          <w:rFonts w:ascii="Trebuchet MS" w:hAnsi="Trebuchet MS"/>
          <w:sz w:val="26"/>
          <w:szCs w:val="26"/>
        </w:rPr>
        <mc:AlternateContent>
          <mc:Choice Requires="wps">
            <w:drawing xmlns:a="http://schemas.openxmlformats.org/drawingml/2006/main">
              <wp:anchor distT="0" distB="0" distL="0" distR="0" simplePos="0" relativeHeight="251659264" behindDoc="0" locked="0" layoutInCell="1" allowOverlap="1">
                <wp:simplePos x="0" y="0"/>
                <wp:positionH relativeFrom="margin">
                  <wp:posOffset>5237280</wp:posOffset>
                </wp:positionH>
                <wp:positionV relativeFrom="page">
                  <wp:posOffset>568560</wp:posOffset>
                </wp:positionV>
                <wp:extent cx="824088" cy="908472"/>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824088" cy="908472"/>
                        </a:xfrm>
                        <a:prstGeom prst="rect">
                          <a:avLst/>
                        </a:prstGeom>
                        <a:solidFill>
                          <a:srgbClr val="FFFFFF"/>
                        </a:solidFill>
                        <a:ln w="12700" cap="flat">
                          <a:noFill/>
                          <a:miter lim="400000"/>
                        </a:ln>
                        <a:effectLst/>
                      </wps:spPr>
                      <wps:txbx>
                        <w:txbxContent>
                          <w:p>
                            <w:pPr>
                              <w:pStyle w:val="Body A"/>
                            </w:pPr>
                            <w:r>
                              <w:rPr>
                                <w:rFonts w:ascii="Times New Roman" w:hAnsi="Times New Roman"/>
                                <w:b w:val="1"/>
                                <w:bCs w:val="1"/>
                              </w:rPr>
                              <w:drawing xmlns:a="http://schemas.openxmlformats.org/drawingml/2006/main">
                                <wp:inline distT="0" distB="0" distL="0" distR="0">
                                  <wp:extent cx="700952" cy="778933"/>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noChangeAspect="0"/>
                                          </pic:cNvPicPr>
                                        </pic:nvPicPr>
                                        <pic:blipFill>
                                          <a:blip r:embed="rId4">
                                            <a:extLst/>
                                          </a:blip>
                                          <a:stretch>
                                            <a:fillRect/>
                                          </a:stretch>
                                        </pic:blipFill>
                                        <pic:spPr>
                                          <a:xfrm>
                                            <a:off x="0" y="0"/>
                                            <a:ext cx="700952" cy="778933"/>
                                          </a:xfrm>
                                          <a:prstGeom prst="rect">
                                            <a:avLst/>
                                          </a:prstGeom>
                                        </pic:spPr>
                                      </pic:pic>
                                    </a:graphicData>
                                  </a:graphic>
                                </wp:inline>
                              </w:drawing>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412.4pt;margin-top:44.8pt;width:64.9pt;height:71.5pt;z-index:251659264;mso-position-horizontal:absolute;mso-position-horizontal-relative:margin;mso-position-vertical:absolute;mso-position-vertical-relative:pag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A"/>
                      </w:pPr>
                      <w:r>
                        <w:rPr>
                          <w:rFonts w:ascii="Times New Roman" w:hAnsi="Times New Roman"/>
                          <w:b w:val="1"/>
                          <w:bCs w:val="1"/>
                        </w:rPr>
                        <w:drawing xmlns:a="http://schemas.openxmlformats.org/drawingml/2006/main">
                          <wp:inline distT="0" distB="0" distL="0" distR="0">
                            <wp:extent cx="700952" cy="778933"/>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noChangeAspect="0"/>
                                    </pic:cNvPicPr>
                                  </pic:nvPicPr>
                                  <pic:blipFill>
                                    <a:blip r:embed="rId4">
                                      <a:extLst/>
                                    </a:blip>
                                    <a:stretch>
                                      <a:fillRect/>
                                    </a:stretch>
                                  </pic:blipFill>
                                  <pic:spPr>
                                    <a:xfrm>
                                      <a:off x="0" y="0"/>
                                      <a:ext cx="700952" cy="778933"/>
                                    </a:xfrm>
                                    <a:prstGeom prst="rect">
                                      <a:avLst/>
                                    </a:prstGeom>
                                  </pic:spPr>
                                </pic:pic>
                              </a:graphicData>
                            </a:graphic>
                          </wp:inline>
                        </w:drawing>
                      </w:r>
                    </w:p>
                  </w:txbxContent>
                </v:textbox>
                <w10:wrap type="none" side="bothSides" anchorx="margin" anchory="page"/>
              </v:shape>
            </w:pict>
          </mc:Fallback>
        </mc:AlternateContent>
      </w:r>
    </w:p>
    <w:p>
      <w:pPr>
        <w:pStyle w:val="Body A"/>
        <w:rPr>
          <w:rFonts w:ascii="Trebuchet MS" w:hAnsi="Trebuchet MS"/>
          <w:sz w:val="26"/>
          <w:szCs w:val="26"/>
        </w:rPr>
      </w:pPr>
    </w:p>
    <w:p>
      <w:pPr>
        <w:pStyle w:val="Body A"/>
        <w:rPr>
          <w:rFonts w:ascii="Trebuchet MS" w:hAnsi="Trebuchet MS"/>
          <w:sz w:val="26"/>
          <w:szCs w:val="26"/>
        </w:rPr>
      </w:pPr>
    </w:p>
    <w:p>
      <w:pPr>
        <w:pStyle w:val="Body A"/>
        <w:rPr>
          <w:rFonts w:ascii="Trebuchet MS" w:cs="Trebuchet MS" w:hAnsi="Trebuchet MS" w:eastAsia="Trebuchet MS"/>
          <w:b w:val="1"/>
          <w:bCs w:val="1"/>
          <w:sz w:val="26"/>
          <w:szCs w:val="26"/>
          <w:lang w:val="en-US"/>
        </w:rPr>
      </w:pPr>
      <w:r>
        <w:rPr>
          <w:rFonts w:ascii="Trebuchet MS" w:hAnsi="Trebuchet MS"/>
          <w:b w:val="1"/>
          <w:bCs w:val="1"/>
          <w:sz w:val="26"/>
          <w:szCs w:val="26"/>
          <w:rtl w:val="0"/>
          <w:lang w:val="en-US"/>
        </w:rPr>
        <w:t>Presentmen</w:t>
      </w:r>
      <w:r>
        <w:rPr>
          <w:rFonts w:ascii="Trebuchet MS" w:hAnsi="Trebuchet MS"/>
          <w:b w:val="1"/>
          <w:bCs w:val="1"/>
          <w:sz w:val="26"/>
          <w:szCs w:val="26"/>
          <w:rtl w:val="0"/>
          <w:lang w:val="en-US"/>
        </w:rPr>
        <w:t xml:space="preserve">t - </w:t>
      </w:r>
      <w:r>
        <w:rPr>
          <w:rFonts w:ascii="Trebuchet MS" w:hAnsi="Trebuchet MS"/>
          <w:b w:val="1"/>
          <w:bCs w:val="1"/>
          <w:sz w:val="26"/>
          <w:szCs w:val="26"/>
          <w:rtl w:val="0"/>
          <w:lang w:val="en-US"/>
        </w:rPr>
        <w:t xml:space="preserve">Court of Verderers </w:t>
      </w:r>
      <w:r>
        <w:rPr>
          <w:rFonts w:ascii="Trebuchet MS" w:hAnsi="Trebuchet MS"/>
          <w:b w:val="1"/>
          <w:bCs w:val="1"/>
          <w:sz w:val="26"/>
          <w:szCs w:val="26"/>
          <w:rtl w:val="0"/>
          <w:lang w:val="en-US"/>
        </w:rPr>
        <w:t xml:space="preserve">April </w:t>
      </w:r>
      <w:r>
        <w:rPr>
          <w:rFonts w:ascii="Trebuchet MS" w:hAnsi="Trebuchet MS"/>
          <w:b w:val="1"/>
          <w:bCs w:val="1"/>
          <w:sz w:val="26"/>
          <w:szCs w:val="26"/>
          <w:rtl w:val="0"/>
        </w:rPr>
        <w:t>202</w:t>
      </w:r>
      <w:r>
        <w:rPr>
          <w:rFonts w:ascii="Trebuchet MS" w:hAnsi="Trebuchet MS"/>
          <w:b w:val="1"/>
          <w:bCs w:val="1"/>
          <w:sz w:val="26"/>
          <w:szCs w:val="26"/>
          <w:rtl w:val="0"/>
          <w:lang w:val="en-US"/>
        </w:rPr>
        <w:t>2</w:t>
      </w:r>
    </w:p>
    <w:p>
      <w:pPr>
        <w:pStyle w:val="Body A"/>
        <w:rPr>
          <w:rFonts w:ascii="Trebuchet MS" w:cs="Trebuchet MS" w:hAnsi="Trebuchet MS" w:eastAsia="Trebuchet MS"/>
          <w:b w:val="1"/>
          <w:bCs w:val="1"/>
          <w:sz w:val="26"/>
          <w:szCs w:val="26"/>
          <w:lang w:val="en-US"/>
        </w:rPr>
      </w:pPr>
    </w:p>
    <w:p>
      <w:pPr>
        <w:pStyle w:val="Body A"/>
        <w:rPr>
          <w:rFonts w:ascii="Trebuchet MS" w:cs="Trebuchet MS" w:hAnsi="Trebuchet MS" w:eastAsia="Trebuchet MS"/>
          <w:b w:val="1"/>
          <w:bCs w:val="1"/>
          <w:sz w:val="26"/>
          <w:szCs w:val="26"/>
          <w:u w:val="single"/>
        </w:rPr>
      </w:pPr>
      <w:r>
        <w:rPr>
          <w:rFonts w:ascii="Trebuchet MS" w:hAnsi="Trebuchet MS"/>
          <w:b w:val="1"/>
          <w:bCs w:val="1"/>
          <w:sz w:val="26"/>
          <w:szCs w:val="26"/>
          <w:u w:val="single"/>
          <w:rtl w:val="0"/>
          <w:lang w:val="en-US"/>
        </w:rPr>
        <w:t xml:space="preserve">Mike Eccles on behalf of The </w:t>
      </w:r>
      <w:r>
        <w:rPr>
          <w:rFonts w:ascii="Trebuchet MS" w:hAnsi="Trebuchet MS"/>
          <w:b w:val="1"/>
          <w:bCs w:val="1"/>
          <w:sz w:val="26"/>
          <w:szCs w:val="26"/>
          <w:u w:val="single"/>
          <w:rtl w:val="0"/>
          <w:lang w:val="en-US"/>
        </w:rPr>
        <w:t xml:space="preserve">New Forest </w:t>
      </w:r>
      <w:r>
        <w:rPr>
          <w:rFonts w:ascii="Trebuchet MS" w:hAnsi="Trebuchet MS"/>
          <w:b w:val="1"/>
          <w:bCs w:val="1"/>
          <w:sz w:val="26"/>
          <w:szCs w:val="26"/>
          <w:u w:val="single"/>
          <w:rtl w:val="0"/>
          <w:lang w:val="en-US"/>
        </w:rPr>
        <w:t>Commoners Defence Association</w:t>
      </w:r>
    </w:p>
    <w:p>
      <w:pPr>
        <w:pStyle w:val="Body"/>
        <w:rPr>
          <w:rFonts w:ascii="Trebuchet MS" w:cs="Trebuchet MS" w:hAnsi="Trebuchet MS" w:eastAsia="Trebuchet MS"/>
          <w:sz w:val="26"/>
          <w:szCs w:val="26"/>
        </w:rPr>
      </w:pPr>
    </w:p>
    <w:p>
      <w:pPr>
        <w:pStyle w:val="Body"/>
        <w:jc w:val="both"/>
        <w:rPr>
          <w:rFonts w:ascii="Trebuchet MS" w:cs="Trebuchet MS" w:hAnsi="Trebuchet MS" w:eastAsia="Trebuchet MS"/>
          <w:sz w:val="26"/>
          <w:szCs w:val="26"/>
        </w:rPr>
      </w:pPr>
      <w:r>
        <w:rPr>
          <w:rFonts w:ascii="Trebuchet MS" w:hAnsi="Trebuchet MS"/>
          <w:sz w:val="26"/>
          <w:szCs w:val="26"/>
          <w:rtl w:val="0"/>
          <w:lang w:val="en-US"/>
        </w:rPr>
        <w:t xml:space="preserve">We are </w:t>
      </w:r>
      <w:r>
        <w:rPr>
          <w:rFonts w:ascii="Trebuchet MS" w:hAnsi="Trebuchet MS"/>
          <w:sz w:val="26"/>
          <w:szCs w:val="26"/>
          <w:rtl w:val="0"/>
          <w:lang w:val="en-US"/>
        </w:rPr>
        <w:t xml:space="preserve">aware that local communities across The New Forest would like to mark The Queens Jubilee in some way. The recent presentment by Burley Parish council requesting permission to plant 12 trees is one example. However, whilst at first sight this appears to be an admirable gesture, this Association believes the number of trees and the location to be inappropriate. </w:t>
      </w:r>
    </w:p>
    <w:p>
      <w:pPr>
        <w:pStyle w:val="Body"/>
        <w:jc w:val="both"/>
        <w:rPr>
          <w:rFonts w:ascii="Trebuchet MS" w:cs="Trebuchet MS" w:hAnsi="Trebuchet MS" w:eastAsia="Trebuchet MS"/>
          <w:sz w:val="26"/>
          <w:szCs w:val="26"/>
        </w:rPr>
      </w:pPr>
    </w:p>
    <w:p>
      <w:pPr>
        <w:pStyle w:val="Body"/>
        <w:jc w:val="both"/>
        <w:rPr>
          <w:rFonts w:ascii="Trebuchet MS" w:cs="Trebuchet MS" w:hAnsi="Trebuchet MS" w:eastAsia="Trebuchet MS"/>
          <w:sz w:val="26"/>
          <w:szCs w:val="26"/>
        </w:rPr>
      </w:pPr>
      <w:r>
        <w:rPr>
          <w:rFonts w:ascii="Trebuchet MS" w:hAnsi="Trebuchet MS"/>
          <w:sz w:val="26"/>
          <w:szCs w:val="26"/>
          <w:rtl w:val="0"/>
          <w:lang w:val="en-US"/>
        </w:rPr>
        <w:t>In support of their request, Burley Parish claimed to have lost 126 village trees during recent storms. We would like to point out that about 100 of th</w:t>
      </w:r>
      <w:r>
        <w:rPr>
          <w:rFonts w:ascii="Trebuchet MS" w:hAnsi="Trebuchet MS"/>
          <w:sz w:val="26"/>
          <w:szCs w:val="26"/>
          <w:rtl w:val="0"/>
          <w:lang w:val="en-US"/>
        </w:rPr>
        <w:t>ose</w:t>
      </w:r>
      <w:r>
        <w:rPr>
          <w:rFonts w:ascii="Trebuchet MS" w:hAnsi="Trebuchet MS"/>
          <w:sz w:val="26"/>
          <w:szCs w:val="26"/>
          <w:rtl w:val="0"/>
        </w:rPr>
        <w:t xml:space="preserve"> </w:t>
      </w:r>
      <w:r>
        <w:rPr>
          <w:rFonts w:ascii="Trebuchet MS" w:hAnsi="Trebuchet MS"/>
          <w:sz w:val="26"/>
          <w:szCs w:val="26"/>
          <w:rtl w:val="0"/>
          <w:lang w:val="en-US"/>
        </w:rPr>
        <w:t>were</w:t>
      </w:r>
      <w:r>
        <w:rPr>
          <w:rFonts w:ascii="Trebuchet MS" w:hAnsi="Trebuchet MS"/>
          <w:sz w:val="26"/>
          <w:szCs w:val="26"/>
          <w:rtl w:val="0"/>
        </w:rPr>
        <w:t xml:space="preserve"> </w:t>
      </w:r>
      <w:r>
        <w:rPr>
          <w:rFonts w:ascii="Trebuchet MS" w:hAnsi="Trebuchet MS"/>
          <w:sz w:val="26"/>
          <w:szCs w:val="26"/>
          <w:rtl w:val="0"/>
          <w:lang w:val="en-US"/>
        </w:rPr>
        <w:t>H</w:t>
      </w:r>
      <w:r>
        <w:rPr>
          <w:rFonts w:ascii="Trebuchet MS" w:hAnsi="Trebuchet MS"/>
          <w:sz w:val="26"/>
          <w:szCs w:val="26"/>
          <w:rtl w:val="0"/>
          <w:lang w:val="en-US"/>
        </w:rPr>
        <w:t xml:space="preserve">olly, </w:t>
      </w:r>
      <w:r>
        <w:rPr>
          <w:rFonts w:ascii="Trebuchet MS" w:hAnsi="Trebuchet MS"/>
          <w:sz w:val="26"/>
          <w:szCs w:val="26"/>
          <w:rtl w:val="0"/>
          <w:lang w:val="en-US"/>
        </w:rPr>
        <w:t>B</w:t>
      </w:r>
      <w:r>
        <w:rPr>
          <w:rFonts w:ascii="Trebuchet MS" w:hAnsi="Trebuchet MS"/>
          <w:sz w:val="26"/>
          <w:szCs w:val="26"/>
          <w:rtl w:val="0"/>
          <w:lang w:val="en-US"/>
        </w:rPr>
        <w:t>irch and Willow. None of which are in short supply or scarce, either locally to Burley or across the wider Forest as a whole. Only a small proportion of that number were trees of note.</w:t>
      </w:r>
    </w:p>
    <w:p>
      <w:pPr>
        <w:pStyle w:val="Body"/>
        <w:jc w:val="both"/>
        <w:rPr>
          <w:rFonts w:ascii="Trebuchet MS" w:cs="Trebuchet MS" w:hAnsi="Trebuchet MS" w:eastAsia="Trebuchet MS"/>
          <w:sz w:val="26"/>
          <w:szCs w:val="26"/>
        </w:rPr>
      </w:pPr>
    </w:p>
    <w:p>
      <w:pPr>
        <w:pStyle w:val="Body"/>
        <w:jc w:val="both"/>
        <w:rPr>
          <w:rFonts w:ascii="Trebuchet MS" w:cs="Trebuchet MS" w:hAnsi="Trebuchet MS" w:eastAsia="Trebuchet MS"/>
          <w:sz w:val="26"/>
          <w:szCs w:val="26"/>
        </w:rPr>
      </w:pPr>
      <w:r>
        <w:rPr>
          <w:rFonts w:ascii="Trebuchet MS" w:hAnsi="Trebuchet MS"/>
          <w:sz w:val="26"/>
          <w:szCs w:val="26"/>
          <w:rtl w:val="0"/>
          <w:lang w:val="en-US"/>
        </w:rPr>
        <w:t>In the mid 19</w:t>
      </w:r>
      <w:r>
        <w:rPr>
          <w:rFonts w:ascii="Trebuchet MS" w:hAnsi="Trebuchet MS"/>
          <w:sz w:val="26"/>
          <w:szCs w:val="26"/>
          <w:vertAlign w:val="superscript"/>
          <w:rtl w:val="0"/>
          <w:lang w:val="en-US"/>
        </w:rPr>
        <w:t>th</w:t>
      </w:r>
      <w:r>
        <w:rPr>
          <w:rFonts w:ascii="Trebuchet MS" w:hAnsi="Trebuchet MS"/>
          <w:sz w:val="26"/>
          <w:szCs w:val="26"/>
          <w:rtl w:val="0"/>
          <w:lang w:val="en-US"/>
        </w:rPr>
        <w:t xml:space="preserve"> century our Commoning forebears fought a battle against the Office of Woods, who were intent upon using the legislation current at that time, to plant tree inclosures over the most productive soils of the New Forest</w:t>
      </w:r>
      <w:r>
        <w:rPr>
          <w:rFonts w:ascii="Trebuchet MS" w:hAnsi="Trebuchet MS"/>
          <w:sz w:val="26"/>
          <w:szCs w:val="26"/>
          <w:rtl w:val="0"/>
          <w:lang w:val="en-US"/>
        </w:rPr>
        <w:t>. T</w:t>
      </w:r>
      <w:r>
        <w:rPr>
          <w:rFonts w:ascii="Trebuchet MS" w:hAnsi="Trebuchet MS"/>
          <w:sz w:val="26"/>
          <w:szCs w:val="26"/>
          <w:rtl w:val="0"/>
          <w:lang w:val="en-US"/>
        </w:rPr>
        <w:t xml:space="preserve">he commoning interests won the day, leading to the New Forest Act of 1877, which still influences much of what we do today. Planting stands of trees on the </w:t>
      </w:r>
      <w:r>
        <w:rPr>
          <w:rFonts w:ascii="Trebuchet MS" w:hAnsi="Trebuchet MS"/>
          <w:sz w:val="26"/>
          <w:szCs w:val="26"/>
          <w:rtl w:val="0"/>
          <w:lang w:val="en-US"/>
        </w:rPr>
        <w:t>O</w:t>
      </w:r>
      <w:r>
        <w:rPr>
          <w:rFonts w:ascii="Trebuchet MS" w:hAnsi="Trebuchet MS"/>
          <w:sz w:val="26"/>
          <w:szCs w:val="26"/>
          <w:rtl w:val="0"/>
          <w:lang w:val="en-US"/>
        </w:rPr>
        <w:t>pen Forest would be a betrayal of their endeavours, and also flout the intent of the 1877 act.</w:t>
      </w:r>
    </w:p>
    <w:p>
      <w:pPr>
        <w:pStyle w:val="Body"/>
        <w:jc w:val="both"/>
        <w:rPr>
          <w:rFonts w:ascii="Trebuchet MS" w:cs="Trebuchet MS" w:hAnsi="Trebuchet MS" w:eastAsia="Trebuchet MS"/>
          <w:sz w:val="26"/>
          <w:szCs w:val="26"/>
        </w:rPr>
      </w:pPr>
    </w:p>
    <w:p>
      <w:pPr>
        <w:pStyle w:val="Body"/>
        <w:jc w:val="both"/>
        <w:rPr>
          <w:rFonts w:ascii="Trebuchet MS" w:cs="Trebuchet MS" w:hAnsi="Trebuchet MS" w:eastAsia="Trebuchet MS"/>
          <w:sz w:val="26"/>
          <w:szCs w:val="26"/>
        </w:rPr>
      </w:pPr>
      <w:r>
        <w:rPr>
          <w:rFonts w:ascii="Trebuchet MS" w:hAnsi="Trebuchet MS"/>
          <w:sz w:val="26"/>
          <w:szCs w:val="26"/>
          <w:rtl w:val="0"/>
          <w:lang w:val="en-US"/>
        </w:rPr>
        <w:t>Her Majesty The Queen has met with Verderers and Commoners on notable occasions in the past, and has always appeared to be both knowledgeable and interested, and clearly understands countryside matters. We would respectfully suggest that she would probably not wish that her extraordinary achievement</w:t>
      </w:r>
      <w:r>
        <w:rPr>
          <w:rFonts w:ascii="Trebuchet MS" w:hAnsi="Trebuchet MS"/>
          <w:sz w:val="26"/>
          <w:szCs w:val="26"/>
          <w:rtl w:val="0"/>
          <w:lang w:val="en-US"/>
        </w:rPr>
        <w:t xml:space="preserve"> to</w:t>
      </w:r>
      <w:r>
        <w:rPr>
          <w:rFonts w:ascii="Trebuchet MS" w:hAnsi="Trebuchet MS"/>
          <w:sz w:val="26"/>
          <w:szCs w:val="26"/>
          <w:rtl w:val="0"/>
          <w:lang w:val="en-US"/>
        </w:rPr>
        <w:t xml:space="preserve"> be marked in a way which involves conservation controversy. </w:t>
      </w:r>
      <w:r>
        <w:rPr>
          <w:rFonts w:ascii="Trebuchet MS" w:hAnsi="Trebuchet MS"/>
          <w:sz w:val="26"/>
          <w:szCs w:val="26"/>
          <w:rtl w:val="0"/>
          <w:lang w:val="en-US"/>
        </w:rPr>
        <w:t>We</w:t>
      </w:r>
      <w:r>
        <w:rPr>
          <w:rFonts w:ascii="Trebuchet MS" w:hAnsi="Trebuchet MS"/>
          <w:sz w:val="26"/>
          <w:szCs w:val="26"/>
          <w:rtl w:val="0"/>
          <w:lang w:val="en-US"/>
        </w:rPr>
        <w:t xml:space="preserve"> feel that a prolonged public debate related to something which is intended as a tribute, would</w:t>
      </w:r>
      <w:r>
        <w:rPr>
          <w:rFonts w:ascii="Trebuchet MS" w:hAnsi="Trebuchet MS"/>
          <w:sz w:val="26"/>
          <w:szCs w:val="26"/>
          <w:rtl w:val="0"/>
          <w:lang w:val="en-US"/>
        </w:rPr>
        <w:t xml:space="preserve"> tarnish the very thing Burley is wanting to celebrate. W</w:t>
      </w:r>
      <w:r>
        <w:rPr>
          <w:rFonts w:ascii="Trebuchet MS" w:hAnsi="Trebuchet MS"/>
          <w:sz w:val="26"/>
          <w:szCs w:val="26"/>
          <w:rtl w:val="0"/>
          <w:lang w:val="en-US"/>
        </w:rPr>
        <w:t>e ask that Burley Parish Counci</w:t>
      </w:r>
      <w:r>
        <w:rPr>
          <w:rFonts w:ascii="Trebuchet MS" w:hAnsi="Trebuchet MS"/>
          <w:sz w:val="26"/>
          <w:szCs w:val="26"/>
          <w:rtl w:val="0"/>
          <w:lang w:val="en-US"/>
        </w:rPr>
        <w:t>l</w:t>
      </w:r>
      <w:r>
        <w:rPr>
          <w:rFonts w:ascii="Trebuchet MS" w:hAnsi="Trebuchet MS"/>
          <w:sz w:val="26"/>
          <w:szCs w:val="26"/>
          <w:rtl w:val="0"/>
          <w:lang w:val="en-US"/>
        </w:rPr>
        <w:t xml:space="preserve"> withdraw their request and find an alternative to their proposal, which is much less controversial, and more fit for purpose. </w:t>
      </w:r>
    </w:p>
    <w:p>
      <w:pPr>
        <w:pStyle w:val="Body"/>
        <w:jc w:val="both"/>
        <w:rPr>
          <w:rFonts w:ascii="Trebuchet MS" w:cs="Trebuchet MS" w:hAnsi="Trebuchet MS" w:eastAsia="Trebuchet MS"/>
          <w:sz w:val="26"/>
          <w:szCs w:val="26"/>
        </w:rPr>
      </w:pPr>
    </w:p>
    <w:p>
      <w:pPr>
        <w:pStyle w:val="Body"/>
        <w:jc w:val="both"/>
        <w:rPr>
          <w:rFonts w:ascii="Trebuchet MS" w:cs="Trebuchet MS" w:hAnsi="Trebuchet MS" w:eastAsia="Trebuchet MS"/>
          <w:sz w:val="26"/>
          <w:szCs w:val="26"/>
        </w:rPr>
      </w:pPr>
      <w:r>
        <w:rPr>
          <w:rFonts w:ascii="Trebuchet MS" w:hAnsi="Trebuchet MS"/>
          <w:sz w:val="26"/>
          <w:szCs w:val="26"/>
          <w:rtl w:val="0"/>
          <w:lang w:val="en-US"/>
        </w:rPr>
        <w:t xml:space="preserve">We support the Verderers policy and their initial response, and </w:t>
      </w:r>
      <w:r>
        <w:rPr>
          <w:rFonts w:ascii="Trebuchet MS" w:hAnsi="Trebuchet MS"/>
          <w:sz w:val="26"/>
          <w:szCs w:val="26"/>
          <w:rtl w:val="0"/>
          <w:lang w:val="en-US"/>
        </w:rPr>
        <w:t>recognise</w:t>
      </w:r>
      <w:r>
        <w:rPr>
          <w:rFonts w:ascii="Trebuchet MS" w:hAnsi="Trebuchet MS"/>
          <w:sz w:val="26"/>
          <w:szCs w:val="26"/>
          <w:rtl w:val="0"/>
          <w:lang w:val="en-US"/>
        </w:rPr>
        <w:t xml:space="preserve"> the need and importance of a consistent approach to these types of requests which will inevitably come from more Parishes.</w:t>
      </w:r>
    </w:p>
    <w:p>
      <w:pPr>
        <w:pStyle w:val="Body"/>
        <w:jc w:val="both"/>
        <w:rPr>
          <w:rFonts w:ascii="Trebuchet MS" w:cs="Trebuchet MS" w:hAnsi="Trebuchet MS" w:eastAsia="Trebuchet MS"/>
          <w:sz w:val="26"/>
          <w:szCs w:val="26"/>
        </w:rPr>
      </w:pPr>
    </w:p>
    <w:p>
      <w:pPr>
        <w:pStyle w:val="Body"/>
        <w:jc w:val="both"/>
        <w:rPr>
          <w:rFonts w:ascii="Trebuchet MS" w:cs="Trebuchet MS" w:hAnsi="Trebuchet MS" w:eastAsia="Trebuchet MS"/>
          <w:sz w:val="26"/>
          <w:szCs w:val="26"/>
        </w:rPr>
      </w:pPr>
      <w:r>
        <w:rPr>
          <w:rFonts w:ascii="Trebuchet MS" w:hAnsi="Trebuchet MS"/>
          <w:sz w:val="26"/>
          <w:szCs w:val="26"/>
          <w:rtl w:val="0"/>
          <w:lang w:val="en-US"/>
        </w:rPr>
        <w:t xml:space="preserve">On a more general note, this subject concerns the management of the </w:t>
      </w:r>
      <w:r>
        <w:rPr>
          <w:rFonts w:ascii="Trebuchet MS" w:hAnsi="Trebuchet MS"/>
          <w:sz w:val="26"/>
          <w:szCs w:val="26"/>
          <w:rtl w:val="0"/>
          <w:lang w:val="en-US"/>
        </w:rPr>
        <w:t>O</w:t>
      </w:r>
      <w:r>
        <w:rPr>
          <w:rFonts w:ascii="Trebuchet MS" w:hAnsi="Trebuchet MS"/>
          <w:sz w:val="26"/>
          <w:szCs w:val="26"/>
          <w:rtl w:val="0"/>
          <w:lang w:val="da-DK"/>
        </w:rPr>
        <w:t>pen Forest</w:t>
      </w:r>
      <w:r>
        <w:rPr>
          <w:rFonts w:ascii="Trebuchet MS" w:hAnsi="Trebuchet MS"/>
          <w:sz w:val="26"/>
          <w:szCs w:val="26"/>
          <w:rtl w:val="0"/>
          <w:lang w:val="en-US"/>
        </w:rPr>
        <w:t>. Matters concerning the Open Forest are usually</w:t>
      </w:r>
      <w:r>
        <w:rPr>
          <w:rFonts w:ascii="Trebuchet MS" w:hAnsi="Trebuchet MS"/>
          <w:sz w:val="26"/>
          <w:szCs w:val="26"/>
          <w:rtl w:val="0"/>
          <w:lang w:val="en-US"/>
        </w:rPr>
        <w:t xml:space="preserve"> reviewed by a</w:t>
      </w:r>
      <w:r>
        <w:rPr>
          <w:rFonts w:ascii="Trebuchet MS" w:hAnsi="Trebuchet MS"/>
          <w:sz w:val="26"/>
          <w:szCs w:val="26"/>
          <w:rtl w:val="0"/>
          <w:lang w:val="en-US"/>
        </w:rPr>
        <w:t>n</w:t>
      </w:r>
      <w:r>
        <w:rPr>
          <w:rFonts w:ascii="Trebuchet MS" w:hAnsi="Trebuchet MS"/>
          <w:sz w:val="26"/>
          <w:szCs w:val="26"/>
          <w:rtl w:val="0"/>
        </w:rPr>
        <w:t xml:space="preserve"> </w:t>
      </w:r>
      <w:r>
        <w:rPr>
          <w:rFonts w:ascii="Trebuchet MS" w:hAnsi="Trebuchet MS"/>
          <w:sz w:val="26"/>
          <w:szCs w:val="26"/>
          <w:rtl w:val="0"/>
          <w:lang w:val="en-US"/>
        </w:rPr>
        <w:t xml:space="preserve">established </w:t>
      </w:r>
      <w:r>
        <w:rPr>
          <w:rFonts w:ascii="Trebuchet MS" w:hAnsi="Trebuchet MS"/>
          <w:sz w:val="26"/>
          <w:szCs w:val="26"/>
          <w:rtl w:val="0"/>
          <w:lang w:val="en-US"/>
        </w:rPr>
        <w:t xml:space="preserve">multi- agency </w:t>
      </w:r>
      <w:r>
        <w:rPr>
          <w:rFonts w:ascii="Trebuchet MS" w:hAnsi="Trebuchet MS"/>
          <w:sz w:val="26"/>
          <w:szCs w:val="26"/>
          <w:rtl w:val="0"/>
          <w:lang w:val="en-US"/>
        </w:rPr>
        <w:t xml:space="preserve">partnership, including </w:t>
      </w:r>
      <w:r>
        <w:rPr>
          <w:rFonts w:ascii="Trebuchet MS" w:hAnsi="Trebuchet MS"/>
          <w:sz w:val="26"/>
          <w:szCs w:val="26"/>
          <w:rtl w:val="0"/>
          <w:lang w:val="en-US"/>
        </w:rPr>
        <w:t xml:space="preserve">Forestry England, Natural England, NFCDA, and The Verderers. Could you please bear this in mind in future. </w:t>
      </w:r>
    </w:p>
    <w:p>
      <w:pPr>
        <w:pStyle w:val="Body"/>
        <w:jc w:val="both"/>
        <w:rPr>
          <w:rFonts w:ascii="Trebuchet MS" w:cs="Trebuchet MS" w:hAnsi="Trebuchet MS" w:eastAsia="Trebuchet MS"/>
          <w:sz w:val="26"/>
          <w:szCs w:val="26"/>
        </w:rPr>
      </w:pPr>
    </w:p>
    <w:p>
      <w:pPr>
        <w:pStyle w:val="Body A"/>
        <w:jc w:val="both"/>
      </w:pPr>
      <w:r>
        <w:rPr>
          <w:rFonts w:ascii="Trebuchet MS" w:hAnsi="Trebuchet MS"/>
          <w:sz w:val="26"/>
          <w:szCs w:val="26"/>
          <w:rtl w:val="0"/>
          <w:lang w:val="en-US"/>
        </w:rPr>
        <w:t xml:space="preserve">Contact: </w:t>
      </w:r>
      <w:r>
        <w:rPr>
          <w:rStyle w:val="Hyperlink.0"/>
          <w:rFonts w:ascii="Trebuchet MS" w:cs="Trebuchet MS" w:hAnsi="Trebuchet MS" w:eastAsia="Trebuchet MS"/>
          <w:sz w:val="26"/>
          <w:szCs w:val="26"/>
        </w:rPr>
        <w:fldChar w:fldCharType="begin" w:fldLock="0"/>
      </w:r>
      <w:r>
        <w:rPr>
          <w:rStyle w:val="Hyperlink.0"/>
          <w:rFonts w:ascii="Trebuchet MS" w:cs="Trebuchet MS" w:hAnsi="Trebuchet MS" w:eastAsia="Trebuchet MS"/>
          <w:sz w:val="26"/>
          <w:szCs w:val="26"/>
        </w:rPr>
        <w:instrText xml:space="preserve"> HYPERLINK "mailto:Charlotte@realnewforest.org"</w:instrText>
      </w:r>
      <w:r>
        <w:rPr>
          <w:rStyle w:val="Hyperlink.0"/>
          <w:rFonts w:ascii="Trebuchet MS" w:cs="Trebuchet MS" w:hAnsi="Trebuchet MS" w:eastAsia="Trebuchet MS"/>
          <w:sz w:val="26"/>
          <w:szCs w:val="26"/>
        </w:rPr>
        <w:fldChar w:fldCharType="separate" w:fldLock="0"/>
      </w:r>
      <w:r>
        <w:rPr>
          <w:rStyle w:val="Hyperlink.0"/>
          <w:rFonts w:ascii="Trebuchet MS" w:hAnsi="Trebuchet MS"/>
          <w:sz w:val="26"/>
          <w:szCs w:val="26"/>
          <w:rtl w:val="0"/>
          <w:lang w:val="it-IT"/>
        </w:rPr>
        <w:t>Charlotte@realnewforest.org</w:t>
      </w:r>
      <w:r>
        <w:rPr>
          <w:rFonts w:ascii="Trebuchet MS" w:cs="Trebuchet MS" w:hAnsi="Trebuchet MS" w:eastAsia="Trebuchet MS"/>
          <w:sz w:val="26"/>
          <w:szCs w:val="26"/>
        </w:rPr>
        <w:fldChar w:fldCharType="end" w:fldLock="0"/>
      </w:r>
    </w:p>
    <w:sectPr>
      <w:headerReference w:type="default" r:id="rId5"/>
      <w:footerReference w:type="default" r:id="rId6"/>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Sinhala Sangam MN">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Sinhala Sangam MN" w:cs="Arial Unicode MS" w:hAnsi="Sinhala Sangam MN"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563c1"/>
      <w:u w:val="single" w:color="0563c1"/>
      <w:lang w:val="it-IT"/>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Sinhala Sangam MN"/>
        <a:ea typeface="Sinhala Sangam MN"/>
        <a:cs typeface="Sinhala Sangam MN"/>
      </a:majorFont>
      <a:minorFont>
        <a:latin typeface="Sinhala Sangam MN"/>
        <a:ea typeface="Sinhala Sangam MN"/>
        <a:cs typeface="Sinhala Sangam M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Sinhala Sangam M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Sinhala Sangam M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